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6E7F5B"/>
          <w:spacing w:val="40"/>
          <w:sz w:val="20"/>
          <w:szCs w:val="20"/>
        </w:rPr>
        <w:t xml:space="preserve">DU CORDON À L'ASSIETTE</w:t>
      </w:r>
    </w:p>
    <w:p>
      <w:pPr>
        <w:spacing w:after="60"/>
      </w:pPr>
      <w:r>
        <w:rPr>
          <w:rFonts w:ascii="Calibri" w:cs="Calibri" w:eastAsia="Calibri" w:hAnsi="Calibri"/>
          <w:b/>
          <w:bCs/>
          <w:color w:val="B0553A"/>
          <w:sz w:val="40"/>
          <w:szCs w:val="40"/>
        </w:rPr>
        <w:t xml:space="preserve">Politique de confidentialité</w:t>
      </w:r>
    </w:p>
    <w:p>
      <w:pPr>
        <w:spacing w:after="200"/>
      </w:pPr>
      <w:r>
        <w:rPr>
          <w:rFonts w:ascii="Calibri" w:cs="Calibri" w:eastAsia="Calibri" w:hAnsi="Calibri"/>
          <w:i/>
          <w:iCs/>
          <w:color w:val="6A6A6A"/>
          <w:sz w:val="19"/>
          <w:szCs w:val="19"/>
        </w:rPr>
        <w:t xml:space="preserve">Dernière mise à jour : 14 septembre 2026</w:t>
      </w:r>
    </w:p>
    <w:p>
      <w:pPr>
        <w:pBdr>
          <w:top w:val="single" w:color="B0553A" w:sz="4" w:space="8"/>
          <w:bottom w:val="single" w:color="B0553A" w:sz="4" w:space="8"/>
          <w:left w:val="single" w:color="B0553A" w:sz="4" w:space="8"/>
          <w:right w:val="single" w:color="B0553A" w:sz="4" w:space="8"/>
        </w:pBdr>
        <w:shd w:fill="F5EBE4" w:val="clear"/>
        <w:spacing w:after="40" w:before="60" w:line="276"/>
      </w:pPr>
      <w:r>
        <w:rPr>
          <w:rFonts w:ascii="Calibri" w:cs="Calibri" w:eastAsia="Calibri" w:hAnsi="Calibri"/>
          <w:b/>
          <w:bCs/>
          <w:color w:val="B0553A"/>
          <w:sz w:val="20"/>
          <w:szCs w:val="20"/>
        </w:rPr>
        <w:t xml:space="preserve">Note — </w:t>
      </w:r>
      <w:r>
        <w:rPr>
          <w:rFonts w:ascii="Calibri" w:cs="Calibri" w:eastAsia="Calibri" w:hAnsi="Calibri"/>
          <w:color w:val="2B2B2B"/>
          <w:sz w:val="20"/>
          <w:szCs w:val="20"/>
        </w:rPr>
        <w:t xml:space="preserve">ce document reflète les exigences de la Loi 25, mais ne constitue pas un avis juridique : au besoin, fais valider le volet « données de santé » par un ou une juriste.</w:t>
      </w:r>
    </w:p>
    <w:p>
      <w:pPr>
        <w:spacing w:after="120" w:line="276"/>
      </w:pPr>
      <w:r>
        <w:rPr>
          <w:rFonts w:ascii="Calibri" w:cs="Calibri" w:eastAsia="Calibri" w:hAnsi="Calibri"/>
          <w:color w:val="2B2B2B"/>
          <w:sz w:val="21"/>
          <w:szCs w:val="21"/>
        </w:rPr>
        <w:t xml:space="preserve">La protection de vos renseignements personnels est une priorité. La présente politique explique quels renseignements sont recueillis, à quelles fins, comment ils sont utilisés et protégés, et quels sont vos droits. Elle est établie conformément à la </w:t>
      </w:r>
      <w:r>
        <w:rPr>
          <w:rFonts w:ascii="Calibri" w:cs="Calibri" w:eastAsia="Calibri" w:hAnsi="Calibri"/>
          <w:b/>
          <w:bCs/>
          <w:color w:val="2B2B2B"/>
          <w:sz w:val="21"/>
          <w:szCs w:val="21"/>
        </w:rPr>
        <w:t xml:space="preserve">Loi sur la protection des renseignements personnels dans le secteur privé du Québec (Loi 25)</w:t>
      </w:r>
      <w:r>
        <w:rPr>
          <w:rFonts w:ascii="Calibri" w:cs="Calibri" w:eastAsia="Calibri" w:hAnsi="Calibri"/>
          <w:color w:val="2B2B2B"/>
          <w:sz w:val="21"/>
          <w:szCs w:val="21"/>
        </w:rPr>
        <w:t xml:space="preserve"> ainsi qu’à la législation fédérale applicable (LPRPDE).</w:t>
      </w:r>
    </w:p>
    <w:p>
      <w:pPr>
        <w:pStyle w:val="Heading2"/>
        <w:spacing w:after="90" w:before="240"/>
      </w:pPr>
      <w:r>
        <w:rPr>
          <w:rFonts w:ascii="Calibri" w:cs="Calibri" w:eastAsia="Calibri" w:hAnsi="Calibri"/>
          <w:b/>
          <w:bCs/>
          <w:color w:val="6E7F5B"/>
          <w:sz w:val="24"/>
          <w:szCs w:val="24"/>
        </w:rPr>
        <w:t xml:space="preserve">1. Responsable de la protection des renseignements personnels</w:t>
      </w:r>
    </w:p>
    <w:p>
      <w:pPr>
        <w:spacing w:after="120" w:line="276"/>
      </w:pPr>
      <w:r>
        <w:rPr>
          <w:rFonts w:ascii="Calibri" w:cs="Calibri" w:eastAsia="Calibri" w:hAnsi="Calibri"/>
          <w:color w:val="2B2B2B"/>
          <w:sz w:val="21"/>
          <w:szCs w:val="21"/>
        </w:rPr>
        <w:t xml:space="preserve">La personne responsable de la protection des renseignements personnels est :</w:t>
      </w:r>
    </w:p>
    <w:p>
      <w:pPr>
        <w:pStyle w:val="ListParagraph"/>
        <w:numPr>
          <w:ilvl w:val="0"/>
          <w:numId w:val="1"/>
        </w:numPr>
        <w:spacing w:after="60" w:line="276"/>
      </w:pPr>
      <w:r>
        <w:rPr>
          <w:rFonts w:ascii="Calibri" w:cs="Calibri" w:eastAsia="Calibri" w:hAnsi="Calibri"/>
          <w:b/>
          <w:bCs/>
          <w:color w:val="2B2B2B"/>
          <w:sz w:val="21"/>
          <w:szCs w:val="21"/>
        </w:rPr>
        <w:t xml:space="preserve">Amandine Mayeu</w:t>
      </w:r>
    </w:p>
    <w:p>
      <w:pPr>
        <w:pStyle w:val="ListParagraph"/>
        <w:numPr>
          <w:ilvl w:val="0"/>
          <w:numId w:val="1"/>
        </w:numPr>
        <w:spacing w:after="60" w:line="276"/>
      </w:pPr>
      <w:r>
        <w:rPr>
          <w:rFonts w:ascii="Calibri" w:cs="Calibri" w:eastAsia="Calibri" w:hAnsi="Calibri"/>
          <w:color w:val="2B2B2B"/>
          <w:sz w:val="21"/>
          <w:szCs w:val="21"/>
        </w:rPr>
        <w:t xml:space="preserve">Courriel : </w:t>
      </w:r>
      <w:r>
        <w:rPr>
          <w:rFonts w:ascii="Calibri" w:cs="Calibri" w:eastAsia="Calibri" w:hAnsi="Calibri"/>
          <w:b/>
          <w:bCs/>
          <w:color w:val="2B2B2B"/>
          <w:sz w:val="21"/>
          <w:szCs w:val="21"/>
        </w:rPr>
        <w:t xml:space="preserve">mayeu.amandine28@gmail.com</w:t>
      </w:r>
    </w:p>
    <w:p>
      <w:pPr>
        <w:pStyle w:val="ListParagraph"/>
        <w:numPr>
          <w:ilvl w:val="0"/>
          <w:numId w:val="1"/>
        </w:numPr>
        <w:spacing w:after="60" w:line="276"/>
      </w:pPr>
      <w:r>
        <w:rPr>
          <w:rFonts w:ascii="Calibri" w:cs="Calibri" w:eastAsia="Calibri" w:hAnsi="Calibri"/>
          <w:color w:val="2B2B2B"/>
          <w:sz w:val="21"/>
          <w:szCs w:val="21"/>
        </w:rPr>
        <w:t xml:space="preserve">Téléphone : </w:t>
      </w:r>
      <w:r>
        <w:rPr>
          <w:rFonts w:ascii="Calibri" w:cs="Calibri" w:eastAsia="Calibri" w:hAnsi="Calibri"/>
          <w:b/>
          <w:bCs/>
          <w:color w:val="2B2B2B"/>
          <w:sz w:val="21"/>
          <w:szCs w:val="21"/>
        </w:rPr>
        <w:t xml:space="preserve">438-365-5949</w:t>
      </w:r>
    </w:p>
    <w:p>
      <w:pPr>
        <w:spacing w:after="160" w:line="276"/>
      </w:pPr>
      <w:r>
        <w:rPr>
          <w:rFonts w:ascii="Calibri" w:cs="Calibri" w:eastAsia="Calibri" w:hAnsi="Calibri"/>
          <w:color w:val="2B2B2B"/>
          <w:sz w:val="21"/>
          <w:szCs w:val="21"/>
        </w:rPr>
        <w:t xml:space="preserve">Vous pouvez communiquer avec cette personne pour toute question relative à la présente politique ou pour exercer vos droits.</w:t>
      </w:r>
    </w:p>
    <w:p>
      <w:pPr>
        <w:pStyle w:val="Heading2"/>
        <w:spacing w:after="90" w:before="240"/>
      </w:pPr>
      <w:r>
        <w:rPr>
          <w:rFonts w:ascii="Calibri" w:cs="Calibri" w:eastAsia="Calibri" w:hAnsi="Calibri"/>
          <w:b/>
          <w:bCs/>
          <w:color w:val="6E7F5B"/>
          <w:sz w:val="24"/>
          <w:szCs w:val="24"/>
        </w:rPr>
        <w:t xml:space="preserve">2. Renseignements que nous recueillons</w:t>
      </w:r>
    </w:p>
    <w:p>
      <w:pPr>
        <w:spacing w:after="120" w:line="276"/>
      </w:pPr>
      <w:r>
        <w:rPr>
          <w:rFonts w:ascii="Calibri" w:cs="Calibri" w:eastAsia="Calibri" w:hAnsi="Calibri"/>
          <w:color w:val="2B2B2B"/>
          <w:sz w:val="21"/>
          <w:szCs w:val="21"/>
        </w:rPr>
        <w:t xml:space="preserve">Selon votre interaction avec le site et les services, nous pouvons recueillir :</w:t>
      </w:r>
    </w:p>
    <w:p>
      <w:pPr>
        <w:pStyle w:val="ListParagraph"/>
        <w:numPr>
          <w:ilvl w:val="0"/>
          <w:numId w:val="1"/>
        </w:numPr>
        <w:spacing w:after="60" w:line="276"/>
      </w:pPr>
      <w:r>
        <w:rPr>
          <w:rFonts w:ascii="Calibri" w:cs="Calibri" w:eastAsia="Calibri" w:hAnsi="Calibri"/>
          <w:b/>
          <w:bCs/>
          <w:color w:val="2B2B2B"/>
          <w:sz w:val="21"/>
          <w:szCs w:val="21"/>
        </w:rPr>
        <w:t xml:space="preserve">Renseignements d’identification et de contact : </w:t>
      </w:r>
      <w:r>
        <w:rPr>
          <w:rFonts w:ascii="Calibri" w:cs="Calibri" w:eastAsia="Calibri" w:hAnsi="Calibri"/>
          <w:color w:val="2B2B2B"/>
          <w:sz w:val="21"/>
          <w:szCs w:val="21"/>
        </w:rPr>
        <w:t xml:space="preserve">nom, prénom, adresse courriel, numéro de téléphone.</w:t>
      </w:r>
    </w:p>
    <w:p>
      <w:pPr>
        <w:pStyle w:val="ListParagraph"/>
        <w:numPr>
          <w:ilvl w:val="0"/>
          <w:numId w:val="1"/>
        </w:numPr>
        <w:spacing w:after="60" w:line="276"/>
      </w:pPr>
      <w:r>
        <w:rPr>
          <w:rFonts w:ascii="Calibri" w:cs="Calibri" w:eastAsia="Calibri" w:hAnsi="Calibri"/>
          <w:b/>
          <w:bCs/>
          <w:color w:val="2B2B2B"/>
          <w:sz w:val="21"/>
          <w:szCs w:val="21"/>
        </w:rPr>
        <w:t xml:space="preserve">Renseignements de santé (données sensibles) : </w:t>
      </w:r>
      <w:r>
        <w:rPr>
          <w:rFonts w:ascii="Calibri" w:cs="Calibri" w:eastAsia="Calibri" w:hAnsi="Calibri"/>
          <w:color w:val="2B2B2B"/>
          <w:sz w:val="21"/>
          <w:szCs w:val="21"/>
        </w:rPr>
        <w:t xml:space="preserve">renseignements relatifs à la grossesse, à l’allaitement, à l’alimentation, au développement et à la santé de l’enfant, aux antécédents et objectifs, que vous fournissez dans le cadre d’une consultation ou d’un suivi.</w:t>
      </w:r>
    </w:p>
    <w:p>
      <w:pPr>
        <w:pStyle w:val="ListParagraph"/>
        <w:numPr>
          <w:ilvl w:val="0"/>
          <w:numId w:val="1"/>
        </w:numPr>
        <w:spacing w:after="60" w:line="276"/>
      </w:pPr>
      <w:r>
        <w:rPr>
          <w:rFonts w:ascii="Calibri" w:cs="Calibri" w:eastAsia="Calibri" w:hAnsi="Calibri"/>
          <w:b/>
          <w:bCs/>
          <w:color w:val="2B2B2B"/>
          <w:sz w:val="21"/>
          <w:szCs w:val="21"/>
        </w:rPr>
        <w:t xml:space="preserve">Renseignements liés au compte et à la plateforme : </w:t>
      </w:r>
      <w:r>
        <w:rPr>
          <w:rFonts w:ascii="Calibri" w:cs="Calibri" w:eastAsia="Calibri" w:hAnsi="Calibri"/>
          <w:color w:val="2B2B2B"/>
          <w:sz w:val="21"/>
          <w:szCs w:val="21"/>
        </w:rPr>
        <w:t xml:space="preserve">identifiants, historique d’adhésion et d’accès aux contenus de formation.</w:t>
      </w:r>
    </w:p>
    <w:p>
      <w:pPr>
        <w:pStyle w:val="ListParagraph"/>
        <w:numPr>
          <w:ilvl w:val="0"/>
          <w:numId w:val="1"/>
        </w:numPr>
        <w:spacing w:after="60" w:line="276"/>
      </w:pPr>
      <w:r>
        <w:rPr>
          <w:rFonts w:ascii="Calibri" w:cs="Calibri" w:eastAsia="Calibri" w:hAnsi="Calibri"/>
          <w:b/>
          <w:bCs/>
          <w:color w:val="2B2B2B"/>
          <w:sz w:val="21"/>
          <w:szCs w:val="21"/>
        </w:rPr>
        <w:t xml:space="preserve">Renseignements de paiement : </w:t>
      </w:r>
      <w:r>
        <w:rPr>
          <w:rFonts w:ascii="Calibri" w:cs="Calibri" w:eastAsia="Calibri" w:hAnsi="Calibri"/>
          <w:color w:val="2B2B2B"/>
          <w:sz w:val="21"/>
          <w:szCs w:val="21"/>
        </w:rPr>
        <w:t xml:space="preserve">les transactions sont traitées par notre prestataire de paiement; nous ne conservons pas les numéros complets de carte de crédit.</w:t>
      </w:r>
    </w:p>
    <w:p>
      <w:pPr>
        <w:pStyle w:val="ListParagraph"/>
        <w:numPr>
          <w:ilvl w:val="0"/>
          <w:numId w:val="1"/>
        </w:numPr>
        <w:spacing w:after="60" w:line="276"/>
      </w:pPr>
      <w:r>
        <w:rPr>
          <w:rFonts w:ascii="Calibri" w:cs="Calibri" w:eastAsia="Calibri" w:hAnsi="Calibri"/>
          <w:b/>
          <w:bCs/>
          <w:color w:val="2B2B2B"/>
          <w:sz w:val="21"/>
          <w:szCs w:val="21"/>
        </w:rPr>
        <w:t xml:space="preserve">Renseignements de rendez-vous : </w:t>
      </w:r>
      <w:r>
        <w:rPr>
          <w:rFonts w:ascii="Calibri" w:cs="Calibri" w:eastAsia="Calibri" w:hAnsi="Calibri"/>
          <w:color w:val="2B2B2B"/>
          <w:sz w:val="21"/>
          <w:szCs w:val="21"/>
        </w:rPr>
        <w:t xml:space="preserve">dates, disponibilités et informations que vous fournissez au moment de la réservation.</w:t>
      </w:r>
    </w:p>
    <w:p>
      <w:pPr>
        <w:pStyle w:val="ListParagraph"/>
        <w:numPr>
          <w:ilvl w:val="0"/>
          <w:numId w:val="1"/>
        </w:numPr>
        <w:spacing w:after="60" w:line="276"/>
      </w:pPr>
      <w:r>
        <w:rPr>
          <w:rFonts w:ascii="Calibri" w:cs="Calibri" w:eastAsia="Calibri" w:hAnsi="Calibri"/>
          <w:b/>
          <w:bCs/>
          <w:color w:val="2B2B2B"/>
          <w:sz w:val="21"/>
          <w:szCs w:val="21"/>
        </w:rPr>
        <w:t xml:space="preserve">Renseignements de navigation : </w:t>
      </w:r>
      <w:r>
        <w:rPr>
          <w:rFonts w:ascii="Calibri" w:cs="Calibri" w:eastAsia="Calibri" w:hAnsi="Calibri"/>
          <w:color w:val="2B2B2B"/>
          <w:sz w:val="21"/>
          <w:szCs w:val="21"/>
        </w:rPr>
        <w:t xml:space="preserve">adresse IP, type d’appareil et de navigateur, pages consultées, recueillis au moyen de témoins (voir section 10).</w:t>
      </w:r>
    </w:p>
    <w:p>
      <w:pPr>
        <w:pStyle w:val="Heading2"/>
        <w:spacing w:after="90" w:before="240"/>
      </w:pPr>
      <w:r>
        <w:rPr>
          <w:rFonts w:ascii="Calibri" w:cs="Calibri" w:eastAsia="Calibri" w:hAnsi="Calibri"/>
          <w:b/>
          <w:bCs/>
          <w:color w:val="6E7F5B"/>
          <w:sz w:val="24"/>
          <w:szCs w:val="24"/>
        </w:rPr>
        <w:t xml:space="preserve">3. Comment nous recueillons ces renseignements</w:t>
      </w:r>
    </w:p>
    <w:p>
      <w:pPr>
        <w:spacing w:after="120" w:line="276"/>
      </w:pPr>
      <w:r>
        <w:rPr>
          <w:rFonts w:ascii="Calibri" w:cs="Calibri" w:eastAsia="Calibri" w:hAnsi="Calibri"/>
          <w:color w:val="2B2B2B"/>
          <w:sz w:val="21"/>
          <w:szCs w:val="21"/>
        </w:rPr>
        <w:t xml:space="preserve">Vos renseignements sont recueillis lorsque vous : remplissez un formulaire de contact; réservez un rendez-vous en ligne; vous inscrivez à la plateforme d’adhésion; participez à une consultation ou à un suivi; vous abonnez à l’infolettre; ou naviguez sur le site.</w:t>
      </w:r>
    </w:p>
    <w:p>
      <w:pPr>
        <w:pStyle w:val="Heading2"/>
        <w:spacing w:after="90" w:before="240"/>
      </w:pPr>
      <w:r>
        <w:rPr>
          <w:rFonts w:ascii="Calibri" w:cs="Calibri" w:eastAsia="Calibri" w:hAnsi="Calibri"/>
          <w:b/>
          <w:bCs/>
          <w:color w:val="6E7F5B"/>
          <w:sz w:val="24"/>
          <w:szCs w:val="24"/>
        </w:rPr>
        <w:t xml:space="preserve">4. Fins d’utilisation</w:t>
      </w:r>
    </w:p>
    <w:p>
      <w:pPr>
        <w:spacing w:after="120" w:line="276"/>
      </w:pPr>
      <w:r>
        <w:rPr>
          <w:rFonts w:ascii="Calibri" w:cs="Calibri" w:eastAsia="Calibri" w:hAnsi="Calibri"/>
          <w:color w:val="2B2B2B"/>
          <w:sz w:val="21"/>
          <w:szCs w:val="21"/>
        </w:rPr>
        <w:t xml:space="preserve">Nous utilisons vos renseignements uniquement pour les fins suivantes :</w:t>
      </w:r>
    </w:p>
    <w:p>
      <w:pPr>
        <w:pStyle w:val="ListParagraph"/>
        <w:numPr>
          <w:ilvl w:val="0"/>
          <w:numId w:val="1"/>
        </w:numPr>
        <w:spacing w:after="60" w:line="276"/>
      </w:pPr>
      <w:r>
        <w:rPr>
          <w:rFonts w:ascii="Calibri" w:cs="Calibri" w:eastAsia="Calibri" w:hAnsi="Calibri"/>
          <w:color w:val="2B2B2B"/>
          <w:sz w:val="21"/>
          <w:szCs w:val="21"/>
        </w:rPr>
        <w:t xml:space="preserve">Fournir les services demandés (consultations, suivi nutritionnel, ateliers, accès à la plateforme de formation).</w:t>
      </w:r>
    </w:p>
    <w:p>
      <w:pPr>
        <w:pStyle w:val="ListParagraph"/>
        <w:numPr>
          <w:ilvl w:val="0"/>
          <w:numId w:val="1"/>
        </w:numPr>
        <w:spacing w:after="60" w:line="276"/>
      </w:pPr>
      <w:r>
        <w:rPr>
          <w:rFonts w:ascii="Calibri" w:cs="Calibri" w:eastAsia="Calibri" w:hAnsi="Calibri"/>
          <w:color w:val="2B2B2B"/>
          <w:sz w:val="21"/>
          <w:szCs w:val="21"/>
        </w:rPr>
        <w:t xml:space="preserve">Planifier et confirmer les rendez-vous.</w:t>
      </w:r>
    </w:p>
    <w:p>
      <w:pPr>
        <w:pStyle w:val="ListParagraph"/>
        <w:numPr>
          <w:ilvl w:val="0"/>
          <w:numId w:val="1"/>
        </w:numPr>
        <w:spacing w:after="60" w:line="276"/>
      </w:pPr>
      <w:r>
        <w:rPr>
          <w:rFonts w:ascii="Calibri" w:cs="Calibri" w:eastAsia="Calibri" w:hAnsi="Calibri"/>
          <w:color w:val="2B2B2B"/>
          <w:sz w:val="21"/>
          <w:szCs w:val="21"/>
        </w:rPr>
        <w:t xml:space="preserve">Traiter les paiements, la facturation et l’émission de reçus (notamment aux fins d’assurance).</w:t>
      </w:r>
    </w:p>
    <w:p>
      <w:pPr>
        <w:pStyle w:val="ListParagraph"/>
        <w:numPr>
          <w:ilvl w:val="0"/>
          <w:numId w:val="1"/>
        </w:numPr>
        <w:spacing w:after="60" w:line="276"/>
      </w:pPr>
      <w:r>
        <w:rPr>
          <w:rFonts w:ascii="Calibri" w:cs="Calibri" w:eastAsia="Calibri" w:hAnsi="Calibri"/>
          <w:color w:val="2B2B2B"/>
          <w:sz w:val="21"/>
          <w:szCs w:val="21"/>
        </w:rPr>
        <w:t xml:space="preserve">Vous transmettre l’infolettre et des communications, lorsque vous y avez consenti.</w:t>
      </w:r>
    </w:p>
    <w:p>
      <w:pPr>
        <w:pStyle w:val="ListParagraph"/>
        <w:numPr>
          <w:ilvl w:val="0"/>
          <w:numId w:val="1"/>
        </w:numPr>
        <w:spacing w:after="60" w:line="276"/>
      </w:pPr>
      <w:r>
        <w:rPr>
          <w:rFonts w:ascii="Calibri" w:cs="Calibri" w:eastAsia="Calibri" w:hAnsi="Calibri"/>
          <w:color w:val="2B2B2B"/>
          <w:sz w:val="21"/>
          <w:szCs w:val="21"/>
        </w:rPr>
        <w:t xml:space="preserve">Répondre à vos demandes et assurer le service à la clientèle.</w:t>
      </w:r>
    </w:p>
    <w:p>
      <w:pPr>
        <w:pStyle w:val="ListParagraph"/>
        <w:numPr>
          <w:ilvl w:val="0"/>
          <w:numId w:val="1"/>
        </w:numPr>
        <w:spacing w:after="60" w:line="276"/>
      </w:pPr>
      <w:r>
        <w:rPr>
          <w:rFonts w:ascii="Calibri" w:cs="Calibri" w:eastAsia="Calibri" w:hAnsi="Calibri"/>
          <w:color w:val="2B2B2B"/>
          <w:sz w:val="21"/>
          <w:szCs w:val="21"/>
        </w:rPr>
        <w:t xml:space="preserve">Améliorer le site, les contenus et les services, et respecter nos obligations légales.</w:t>
      </w:r>
    </w:p>
    <w:p>
      <w:pPr>
        <w:pStyle w:val="Heading2"/>
        <w:spacing w:after="90" w:before="240"/>
      </w:pPr>
      <w:r>
        <w:rPr>
          <w:rFonts w:ascii="Calibri" w:cs="Calibri" w:eastAsia="Calibri" w:hAnsi="Calibri"/>
          <w:b/>
          <w:bCs/>
          <w:color w:val="6E7F5B"/>
          <w:sz w:val="24"/>
          <w:szCs w:val="24"/>
        </w:rPr>
        <w:t xml:space="preserve">5. Consentement</w:t>
      </w:r>
    </w:p>
    <w:p>
      <w:pPr>
        <w:spacing w:after="120" w:line="276"/>
      </w:pPr>
      <w:r>
        <w:rPr>
          <w:rFonts w:ascii="Calibri" w:cs="Calibri" w:eastAsia="Calibri" w:hAnsi="Calibri"/>
          <w:color w:val="2B2B2B"/>
          <w:sz w:val="21"/>
          <w:szCs w:val="21"/>
        </w:rPr>
        <w:t xml:space="preserve">En fournissant vos renseignements, vous consentez à leur utilisation aux fins décrites ci-dessus. Votre consentement est libre, éclairé et donné à des fins précises.</w:t>
      </w:r>
    </w:p>
    <w:p>
      <w:pPr>
        <w:spacing w:after="120" w:line="276"/>
      </w:pPr>
      <w:r>
        <w:rPr>
          <w:rFonts w:ascii="Calibri" w:cs="Calibri" w:eastAsia="Calibri" w:hAnsi="Calibri"/>
          <w:color w:val="2B2B2B"/>
          <w:sz w:val="21"/>
          <w:szCs w:val="21"/>
        </w:rPr>
        <w:t xml:space="preserve">Pour les </w:t>
      </w:r>
      <w:r>
        <w:rPr>
          <w:rFonts w:ascii="Calibri" w:cs="Calibri" w:eastAsia="Calibri" w:hAnsi="Calibri"/>
          <w:b/>
          <w:bCs/>
          <w:color w:val="2B2B2B"/>
          <w:sz w:val="21"/>
          <w:szCs w:val="21"/>
        </w:rPr>
        <w:t xml:space="preserve">renseignements de santé (données sensibles)</w:t>
      </w:r>
      <w:r>
        <w:rPr>
          <w:rFonts w:ascii="Calibri" w:cs="Calibri" w:eastAsia="Calibri" w:hAnsi="Calibri"/>
          <w:color w:val="2B2B2B"/>
          <w:sz w:val="21"/>
          <w:szCs w:val="21"/>
        </w:rPr>
        <w:t xml:space="preserve">, un consentement distinct et explicite est recueilli avant leur collecte et leur utilisation dans le cadre de votre accompagnement. Vous pouvez retirer votre consentement en tout temps, sous réserve des obligations légales et des services déjà rendus, en communiquant avec la personne responsable (section 1).</w:t>
      </w:r>
    </w:p>
    <w:p>
      <w:pPr>
        <w:pStyle w:val="Heading2"/>
        <w:spacing w:after="90" w:before="240"/>
      </w:pPr>
      <w:r>
        <w:rPr>
          <w:rFonts w:ascii="Calibri" w:cs="Calibri" w:eastAsia="Calibri" w:hAnsi="Calibri"/>
          <w:b/>
          <w:bCs/>
          <w:color w:val="6E7F5B"/>
          <w:sz w:val="24"/>
          <w:szCs w:val="24"/>
        </w:rPr>
        <w:t xml:space="preserve">6. Communication à des tiers</w:t>
      </w:r>
    </w:p>
    <w:p>
      <w:pPr>
        <w:spacing w:after="120" w:line="276"/>
      </w:pPr>
      <w:r>
        <w:rPr>
          <w:rFonts w:ascii="Calibri" w:cs="Calibri" w:eastAsia="Calibri" w:hAnsi="Calibri"/>
          <w:color w:val="2B2B2B"/>
          <w:sz w:val="21"/>
          <w:szCs w:val="21"/>
        </w:rPr>
        <w:t xml:space="preserve">Vos renseignements ne sont </w:t>
      </w:r>
      <w:r>
        <w:rPr>
          <w:rFonts w:ascii="Calibri" w:cs="Calibri" w:eastAsia="Calibri" w:hAnsi="Calibri"/>
          <w:b/>
          <w:bCs/>
          <w:color w:val="2B2B2B"/>
          <w:sz w:val="21"/>
          <w:szCs w:val="21"/>
        </w:rPr>
        <w:t xml:space="preserve">ni vendus ni loués</w:t>
      </w:r>
      <w:r>
        <w:rPr>
          <w:rFonts w:ascii="Calibri" w:cs="Calibri" w:eastAsia="Calibri" w:hAnsi="Calibri"/>
          <w:color w:val="2B2B2B"/>
          <w:sz w:val="21"/>
          <w:szCs w:val="21"/>
        </w:rPr>
        <w:t xml:space="preserve">. Ils peuvent être communiqués uniquement aux fournisseurs nécessaires à la prestation des services, et seulement dans la mesure requise :</w:t>
      </w:r>
    </w:p>
    <w:p>
      <w:pPr>
        <w:pStyle w:val="ListParagraph"/>
        <w:numPr>
          <w:ilvl w:val="0"/>
          <w:numId w:val="1"/>
        </w:numPr>
        <w:spacing w:after="60" w:line="276"/>
      </w:pPr>
      <w:r>
        <w:rPr>
          <w:rFonts w:ascii="Calibri" w:cs="Calibri" w:eastAsia="Calibri" w:hAnsi="Calibri"/>
          <w:b/>
          <w:bCs/>
          <w:color w:val="2B2B2B"/>
          <w:sz w:val="21"/>
          <w:szCs w:val="21"/>
        </w:rPr>
        <w:t xml:space="preserve">Wix.com Ltd. </w:t>
      </w:r>
      <w:r>
        <w:rPr>
          <w:rFonts w:ascii="Calibri" w:cs="Calibri" w:eastAsia="Calibri" w:hAnsi="Calibri"/>
          <w:color w:val="2B2B2B"/>
          <w:sz w:val="21"/>
          <w:szCs w:val="21"/>
        </w:rPr>
        <w:t xml:space="preserve">— hébergement du site, gestion de la plateforme d’adhésion et de l’espace membre, outil de prise de rendez-vous (Wix Bookings) et envoi de l’infolettre.</w:t>
      </w:r>
    </w:p>
    <w:p>
      <w:pPr>
        <w:pStyle w:val="ListParagraph"/>
        <w:numPr>
          <w:ilvl w:val="0"/>
          <w:numId w:val="1"/>
        </w:numPr>
        <w:spacing w:after="60" w:line="276"/>
      </w:pPr>
      <w:r>
        <w:rPr>
          <w:rFonts w:ascii="Calibri" w:cs="Calibri" w:eastAsia="Calibri" w:hAnsi="Calibri"/>
          <w:b/>
          <w:bCs/>
          <w:color w:val="2B2B2B"/>
          <w:sz w:val="21"/>
          <w:szCs w:val="21"/>
        </w:rPr>
        <w:t xml:space="preserve">Prestataire de paiement </w:t>
      </w:r>
      <w:r>
        <w:rPr>
          <w:rFonts w:ascii="Calibri" w:cs="Calibri" w:eastAsia="Calibri" w:hAnsi="Calibri"/>
          <w:color w:val="2B2B2B"/>
          <w:sz w:val="21"/>
          <w:szCs w:val="21"/>
        </w:rPr>
        <w:t xml:space="preserve">(Wix Payments / Stripe) — traitement sécurisé des transactions.</w:t>
      </w:r>
    </w:p>
    <w:p>
      <w:pPr>
        <w:spacing w:after="160" w:line="276"/>
      </w:pPr>
      <w:r>
        <w:rPr>
          <w:rFonts w:ascii="Calibri" w:cs="Calibri" w:eastAsia="Calibri" w:hAnsi="Calibri"/>
          <w:color w:val="2B2B2B"/>
          <w:sz w:val="21"/>
          <w:szCs w:val="21"/>
        </w:rPr>
        <w:t xml:space="preserve">Ces prestataires sont tenus de protéger vos renseignements et de ne les utiliser qu’aux fins prévues. Vos renseignements peuvent aussi être communiqués si la loi l’exige.</w:t>
      </w:r>
    </w:p>
    <w:p>
      <w:pPr>
        <w:pStyle w:val="Heading2"/>
        <w:spacing w:after="90" w:before="240"/>
      </w:pPr>
      <w:r>
        <w:rPr>
          <w:rFonts w:ascii="Calibri" w:cs="Calibri" w:eastAsia="Calibri" w:hAnsi="Calibri"/>
          <w:b/>
          <w:bCs/>
          <w:color w:val="6E7F5B"/>
          <w:sz w:val="24"/>
          <w:szCs w:val="24"/>
        </w:rPr>
        <w:t xml:space="preserve">7. Transfert de renseignements à l’extérieur du Québec</w:t>
      </w:r>
    </w:p>
    <w:p>
      <w:pPr>
        <w:spacing w:after="120" w:line="276"/>
      </w:pPr>
      <w:r>
        <w:rPr>
          <w:rFonts w:ascii="Calibri" w:cs="Calibri" w:eastAsia="Calibri" w:hAnsi="Calibri"/>
          <w:color w:val="2B2B2B"/>
          <w:sz w:val="21"/>
          <w:szCs w:val="21"/>
        </w:rPr>
        <w:t xml:space="preserve">Certains de nos prestataires (notamment Wix et le prestataire de paiement) peuvent stocker ou traiter des renseignements </w:t>
      </w:r>
      <w:r>
        <w:rPr>
          <w:rFonts w:ascii="Calibri" w:cs="Calibri" w:eastAsia="Calibri" w:hAnsi="Calibri"/>
          <w:b/>
          <w:bCs/>
          <w:color w:val="2B2B2B"/>
          <w:sz w:val="21"/>
          <w:szCs w:val="21"/>
        </w:rPr>
        <w:t xml:space="preserve">à l’extérieur du Québec</w:t>
      </w:r>
      <w:r>
        <w:rPr>
          <w:rFonts w:ascii="Calibri" w:cs="Calibri" w:eastAsia="Calibri" w:hAnsi="Calibri"/>
          <w:color w:val="2B2B2B"/>
          <w:sz w:val="21"/>
          <w:szCs w:val="21"/>
        </w:rPr>
        <w:t xml:space="preserve"> (par exemple aux États-Unis, en Europe ou en Israël). Avant un tel transfert, nous nous assurons que les renseignements bénéficient d’une protection adéquate, au moyen notamment d’engagements contractuels. En utilisant nos services, vous consentez à ces transferts.</w:t>
      </w:r>
    </w:p>
    <w:p>
      <w:pPr>
        <w:pStyle w:val="Heading2"/>
        <w:spacing w:after="90" w:before="240"/>
      </w:pPr>
      <w:r>
        <w:rPr>
          <w:rFonts w:ascii="Calibri" w:cs="Calibri" w:eastAsia="Calibri" w:hAnsi="Calibri"/>
          <w:b/>
          <w:bCs/>
          <w:color w:val="6E7F5B"/>
          <w:sz w:val="24"/>
          <w:szCs w:val="24"/>
        </w:rPr>
        <w:t xml:space="preserve">8. Conservation et destruction</w:t>
      </w:r>
    </w:p>
    <w:p>
      <w:pPr>
        <w:spacing w:after="120" w:line="276"/>
      </w:pPr>
      <w:r>
        <w:rPr>
          <w:rFonts w:ascii="Calibri" w:cs="Calibri" w:eastAsia="Calibri" w:hAnsi="Calibri"/>
          <w:color w:val="2B2B2B"/>
          <w:sz w:val="21"/>
          <w:szCs w:val="21"/>
        </w:rPr>
        <w:t xml:space="preserve">Vos renseignements sont conservés uniquement le temps nécessaire à la réalisation des fins prévues, puis pour la durée requise par nos obligations légales et fiscales (par exemple, la conservation des pièces comptables). Une fois ces délais écoulés, ils sont détruits ou anonymisés de façon sécuritaire.</w:t>
      </w:r>
    </w:p>
    <w:p>
      <w:pPr>
        <w:pStyle w:val="Heading2"/>
        <w:spacing w:after="90" w:before="240"/>
      </w:pPr>
      <w:r>
        <w:rPr>
          <w:rFonts w:ascii="Calibri" w:cs="Calibri" w:eastAsia="Calibri" w:hAnsi="Calibri"/>
          <w:b/>
          <w:bCs/>
          <w:color w:val="6E7F5B"/>
          <w:sz w:val="24"/>
          <w:szCs w:val="24"/>
        </w:rPr>
        <w:t xml:space="preserve">9. Sécurité</w:t>
      </w:r>
    </w:p>
    <w:p>
      <w:pPr>
        <w:spacing w:after="120" w:line="276"/>
      </w:pPr>
      <w:r>
        <w:rPr>
          <w:rFonts w:ascii="Calibri" w:cs="Calibri" w:eastAsia="Calibri" w:hAnsi="Calibri"/>
          <w:color w:val="2B2B2B"/>
          <w:sz w:val="21"/>
          <w:szCs w:val="21"/>
        </w:rPr>
        <w:t xml:space="preserve">Nous prenons des mesures de sécurité raisonnables — physiques, technologiques et organisationnelles — pour protéger vos renseignements contre la perte, le vol et tout accès, communication ou modification non autorisés (accès restreint, connexion sécurisée du site, mots de passe, fournisseurs reconnus).</w:t>
      </w:r>
    </w:p>
    <w:p>
      <w:pPr>
        <w:pStyle w:val="Heading2"/>
        <w:spacing w:after="90" w:before="240"/>
      </w:pPr>
      <w:r>
        <w:rPr>
          <w:rFonts w:ascii="Calibri" w:cs="Calibri" w:eastAsia="Calibri" w:hAnsi="Calibri"/>
          <w:b/>
          <w:bCs/>
          <w:color w:val="6E7F5B"/>
          <w:sz w:val="24"/>
          <w:szCs w:val="24"/>
        </w:rPr>
        <w:t xml:space="preserve">10. Témoins de connexion (cookies)</w:t>
      </w:r>
    </w:p>
    <w:p>
      <w:pPr>
        <w:spacing w:after="120" w:line="276"/>
      </w:pPr>
      <w:r>
        <w:rPr>
          <w:rFonts w:ascii="Calibri" w:cs="Calibri" w:eastAsia="Calibri" w:hAnsi="Calibri"/>
          <w:color w:val="2B2B2B"/>
          <w:sz w:val="21"/>
          <w:szCs w:val="21"/>
        </w:rPr>
        <w:t xml:space="preserve">Le site utilise des témoins, notamment ceux de la plateforme Wix : des témoins essentiels au fonctionnement du site et des témoins de mesure d’audience. Vous pouvez configurer votre navigateur pour refuser les témoins non essentiels; certaines fonctionnalités du site pourraient alors être limitées.</w:t>
      </w:r>
    </w:p>
    <w:p>
      <w:pPr>
        <w:pStyle w:val="Heading2"/>
        <w:spacing w:after="90" w:before="240"/>
      </w:pPr>
      <w:r>
        <w:rPr>
          <w:rFonts w:ascii="Calibri" w:cs="Calibri" w:eastAsia="Calibri" w:hAnsi="Calibri"/>
          <w:b/>
          <w:bCs/>
          <w:color w:val="6E7F5B"/>
          <w:sz w:val="24"/>
          <w:szCs w:val="24"/>
        </w:rPr>
        <w:t xml:space="preserve">11. Vos droits</w:t>
      </w:r>
    </w:p>
    <w:p>
      <w:pPr>
        <w:spacing w:after="120" w:line="276"/>
      </w:pPr>
      <w:r>
        <w:rPr>
          <w:rFonts w:ascii="Calibri" w:cs="Calibri" w:eastAsia="Calibri" w:hAnsi="Calibri"/>
          <w:color w:val="2B2B2B"/>
          <w:sz w:val="21"/>
          <w:szCs w:val="21"/>
        </w:rPr>
        <w:t xml:space="preserve">Conformément à la Loi 25, vous avez le droit de :</w:t>
      </w:r>
    </w:p>
    <w:p>
      <w:pPr>
        <w:pStyle w:val="ListParagraph"/>
        <w:numPr>
          <w:ilvl w:val="0"/>
          <w:numId w:val="1"/>
        </w:numPr>
        <w:spacing w:after="60" w:line="276"/>
      </w:pPr>
      <w:r>
        <w:rPr>
          <w:rFonts w:ascii="Calibri" w:cs="Calibri" w:eastAsia="Calibri" w:hAnsi="Calibri"/>
          <w:color w:val="2B2B2B"/>
          <w:sz w:val="21"/>
          <w:szCs w:val="21"/>
        </w:rPr>
        <w:t xml:space="preserve">accéder aux renseignements que nous détenons à votre sujet;</w:t>
      </w:r>
    </w:p>
    <w:p>
      <w:pPr>
        <w:pStyle w:val="ListParagraph"/>
        <w:numPr>
          <w:ilvl w:val="0"/>
          <w:numId w:val="1"/>
        </w:numPr>
        <w:spacing w:after="60" w:line="276"/>
      </w:pPr>
      <w:r>
        <w:rPr>
          <w:rFonts w:ascii="Calibri" w:cs="Calibri" w:eastAsia="Calibri" w:hAnsi="Calibri"/>
          <w:color w:val="2B2B2B"/>
          <w:sz w:val="21"/>
          <w:szCs w:val="21"/>
        </w:rPr>
        <w:t xml:space="preserve">les faire rectifier s’ils sont inexacts, incomplets ou équivoques;</w:t>
      </w:r>
    </w:p>
    <w:p>
      <w:pPr>
        <w:pStyle w:val="ListParagraph"/>
        <w:numPr>
          <w:ilvl w:val="0"/>
          <w:numId w:val="1"/>
        </w:numPr>
        <w:spacing w:after="60" w:line="276"/>
      </w:pPr>
      <w:r>
        <w:rPr>
          <w:rFonts w:ascii="Calibri" w:cs="Calibri" w:eastAsia="Calibri" w:hAnsi="Calibri"/>
          <w:color w:val="2B2B2B"/>
          <w:sz w:val="21"/>
          <w:szCs w:val="21"/>
        </w:rPr>
        <w:t xml:space="preserve">retirer votre consentement à leur utilisation;</w:t>
      </w:r>
    </w:p>
    <w:p>
      <w:pPr>
        <w:pStyle w:val="ListParagraph"/>
        <w:numPr>
          <w:ilvl w:val="0"/>
          <w:numId w:val="1"/>
        </w:numPr>
        <w:spacing w:after="60" w:line="276"/>
      </w:pPr>
      <w:r>
        <w:rPr>
          <w:rFonts w:ascii="Calibri" w:cs="Calibri" w:eastAsia="Calibri" w:hAnsi="Calibri"/>
          <w:color w:val="2B2B2B"/>
          <w:sz w:val="21"/>
          <w:szCs w:val="21"/>
        </w:rPr>
        <w:t xml:space="preserve">recevoir, dans certains cas, les renseignements que vous nous avez fournis dans un format technologique structuré et couramment utilisé (portabilité);</w:t>
      </w:r>
    </w:p>
    <w:p>
      <w:pPr>
        <w:pStyle w:val="ListParagraph"/>
        <w:numPr>
          <w:ilvl w:val="0"/>
          <w:numId w:val="1"/>
        </w:numPr>
        <w:spacing w:after="60" w:line="276"/>
      </w:pPr>
      <w:r>
        <w:rPr>
          <w:rFonts w:ascii="Calibri" w:cs="Calibri" w:eastAsia="Calibri" w:hAnsi="Calibri"/>
          <w:color w:val="2B2B2B"/>
          <w:sz w:val="21"/>
          <w:szCs w:val="21"/>
        </w:rPr>
        <w:t xml:space="preserve">demander la cessation de la diffusion d’un renseignement ou la désindexation d’un hyperlien, dans les cas prévus par la loi.</w:t>
      </w:r>
    </w:p>
    <w:p>
      <w:pPr>
        <w:spacing w:after="160" w:line="276"/>
      </w:pPr>
      <w:r>
        <w:rPr>
          <w:rFonts w:ascii="Calibri" w:cs="Calibri" w:eastAsia="Calibri" w:hAnsi="Calibri"/>
          <w:color w:val="2B2B2B"/>
          <w:sz w:val="21"/>
          <w:szCs w:val="21"/>
        </w:rPr>
        <w:t xml:space="preserve">Pour exercer ces droits, communiquez avec la personne responsable (section 1). Nous répondrons dans les délais prévus par la loi (généralement 30 jours).</w:t>
      </w:r>
    </w:p>
    <w:p>
      <w:pPr>
        <w:pStyle w:val="Heading2"/>
        <w:spacing w:after="90" w:before="240"/>
      </w:pPr>
      <w:r>
        <w:rPr>
          <w:rFonts w:ascii="Calibri" w:cs="Calibri" w:eastAsia="Calibri" w:hAnsi="Calibri"/>
          <w:b/>
          <w:bCs/>
          <w:color w:val="6E7F5B"/>
          <w:sz w:val="24"/>
          <w:szCs w:val="24"/>
        </w:rPr>
        <w:t xml:space="preserve">12. Renseignements concernant les enfants</w:t>
      </w:r>
    </w:p>
    <w:p>
      <w:pPr>
        <w:spacing w:after="120" w:line="276"/>
      </w:pPr>
      <w:r>
        <w:rPr>
          <w:rFonts w:ascii="Calibri" w:cs="Calibri" w:eastAsia="Calibri" w:hAnsi="Calibri"/>
          <w:color w:val="2B2B2B"/>
          <w:sz w:val="21"/>
          <w:szCs w:val="21"/>
        </w:rPr>
        <w:t xml:space="preserve">Nos services touchent l’alimentation de l’enfant. Les renseignements concernant un enfant sont fournis par son parent ou son tuteur, qui consent à leur collecte et à leur utilisation aux fins de l’accompagnement.</w:t>
      </w:r>
    </w:p>
    <w:p>
      <w:pPr>
        <w:pStyle w:val="Heading2"/>
        <w:spacing w:after="90" w:before="240"/>
      </w:pPr>
      <w:r>
        <w:rPr>
          <w:rFonts w:ascii="Calibri" w:cs="Calibri" w:eastAsia="Calibri" w:hAnsi="Calibri"/>
          <w:b/>
          <w:bCs/>
          <w:color w:val="6E7F5B"/>
          <w:sz w:val="24"/>
          <w:szCs w:val="24"/>
        </w:rPr>
        <w:t xml:space="preserve">13. Décisions automatisées</w:t>
      </w:r>
    </w:p>
    <w:p>
      <w:pPr>
        <w:spacing w:after="120" w:line="276"/>
      </w:pPr>
      <w:r>
        <w:rPr>
          <w:rFonts w:ascii="Calibri" w:cs="Calibri" w:eastAsia="Calibri" w:hAnsi="Calibri"/>
          <w:color w:val="2B2B2B"/>
          <w:sz w:val="21"/>
          <w:szCs w:val="21"/>
        </w:rPr>
        <w:t xml:space="preserve">Nous n’utilisons pas vos renseignements pour rendre des décisions fondées exclusivement sur un traitement automatisé.</w:t>
      </w:r>
    </w:p>
    <w:p>
      <w:pPr>
        <w:pStyle w:val="Heading2"/>
        <w:spacing w:after="90" w:before="240"/>
      </w:pPr>
      <w:r>
        <w:rPr>
          <w:rFonts w:ascii="Calibri" w:cs="Calibri" w:eastAsia="Calibri" w:hAnsi="Calibri"/>
          <w:b/>
          <w:bCs/>
          <w:color w:val="6E7F5B"/>
          <w:sz w:val="24"/>
          <w:szCs w:val="24"/>
        </w:rPr>
        <w:t xml:space="preserve">14. Incidents de confidentialité</w:t>
      </w:r>
    </w:p>
    <w:p>
      <w:pPr>
        <w:spacing w:after="120" w:line="276"/>
      </w:pPr>
      <w:r>
        <w:rPr>
          <w:rFonts w:ascii="Calibri" w:cs="Calibri" w:eastAsia="Calibri" w:hAnsi="Calibri"/>
          <w:color w:val="2B2B2B"/>
          <w:sz w:val="21"/>
          <w:szCs w:val="21"/>
        </w:rPr>
        <w:t xml:space="preserve">En cas d’incident de confidentialité (par exemple, un accès non autorisé) présentant un risque de préjudice sérieux, nous prendrons les mesures raisonnables pour en réduire les conséquences, tiendrons un registre des incidents et aviserons les personnes concernées ainsi que la Commission d’accès à l’information du Québec, comme l’exige la loi.</w:t>
      </w:r>
    </w:p>
    <w:p>
      <w:pPr>
        <w:pStyle w:val="Heading2"/>
        <w:spacing w:after="90" w:before="240"/>
      </w:pPr>
      <w:r>
        <w:rPr>
          <w:rFonts w:ascii="Calibri" w:cs="Calibri" w:eastAsia="Calibri" w:hAnsi="Calibri"/>
          <w:b/>
          <w:bCs/>
          <w:color w:val="6E7F5B"/>
          <w:sz w:val="24"/>
          <w:szCs w:val="24"/>
        </w:rPr>
        <w:t xml:space="preserve">15. Formuler une plainte</w:t>
      </w:r>
    </w:p>
    <w:p>
      <w:pPr>
        <w:spacing w:after="120" w:line="276"/>
      </w:pPr>
      <w:r>
        <w:rPr>
          <w:rFonts w:ascii="Calibri" w:cs="Calibri" w:eastAsia="Calibri" w:hAnsi="Calibri"/>
          <w:color w:val="2B2B2B"/>
          <w:sz w:val="21"/>
          <w:szCs w:val="21"/>
        </w:rPr>
        <w:t xml:space="preserve">Si vous avez une question ou une insatisfaction concernant le traitement de vos renseignements, communiquez d’abord avec la personne responsable (section 1). Vous pouvez également porter plainte auprès de la </w:t>
      </w:r>
      <w:r>
        <w:rPr>
          <w:rFonts w:ascii="Calibri" w:cs="Calibri" w:eastAsia="Calibri" w:hAnsi="Calibri"/>
          <w:b/>
          <w:bCs/>
          <w:color w:val="2B2B2B"/>
          <w:sz w:val="21"/>
          <w:szCs w:val="21"/>
        </w:rPr>
        <w:t xml:space="preserve">Commission d’accès à l’information du Québec (CAI)</w:t>
      </w:r>
      <w:r>
        <w:rPr>
          <w:rFonts w:ascii="Calibri" w:cs="Calibri" w:eastAsia="Calibri" w:hAnsi="Calibri"/>
          <w:color w:val="2B2B2B"/>
          <w:sz w:val="21"/>
          <w:szCs w:val="21"/>
        </w:rPr>
        <w:t xml:space="preserve"> : cai.gouv.qc.ca.</w:t>
      </w:r>
    </w:p>
    <w:p>
      <w:pPr>
        <w:pStyle w:val="Heading2"/>
        <w:spacing w:after="90" w:before="240"/>
      </w:pPr>
      <w:r>
        <w:rPr>
          <w:rFonts w:ascii="Calibri" w:cs="Calibri" w:eastAsia="Calibri" w:hAnsi="Calibri"/>
          <w:b/>
          <w:bCs/>
          <w:color w:val="6E7F5B"/>
          <w:sz w:val="24"/>
          <w:szCs w:val="24"/>
        </w:rPr>
        <w:t xml:space="preserve">16. Modifications de la présente politique</w:t>
      </w:r>
    </w:p>
    <w:p>
      <w:pPr>
        <w:spacing w:after="120" w:line="276"/>
      </w:pPr>
      <w:r>
        <w:rPr>
          <w:rFonts w:ascii="Calibri" w:cs="Calibri" w:eastAsia="Calibri" w:hAnsi="Calibri"/>
          <w:color w:val="2B2B2B"/>
          <w:sz w:val="21"/>
          <w:szCs w:val="21"/>
        </w:rPr>
        <w:t xml:space="preserve">La présente politique peut être modifiée pour refléter l’évolution de nos pratiques ou de la législation. La version en vigueur est celle publiée sur le site, avec sa date de mise à jour.</w:t>
      </w:r>
    </w:p>
    <w:p>
      <w:pPr>
        <w:spacing w:before="240"/>
      </w:pPr>
      <w:r>
        <w:rPr>
          <w:rFonts w:ascii="Calibri" w:cs="Calibri" w:eastAsia="Calibri" w:hAnsi="Calibri"/>
          <w:i/>
          <w:iCs/>
          <w:color w:val="6A6A6A"/>
          <w:sz w:val="19"/>
          <w:szCs w:val="19"/>
        </w:rPr>
        <w:t xml:space="preserve">Dernière mise à jour : 14 septembre 2026</w:t>
      </w:r>
    </w:p>
    <w:sectPr>
      <w:pgSz w:w="12240" w:h="15840" w:orient="portrait"/>
      <w:pgMar w:top="1200" w:right="1440" w:bottom="12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B2B2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Amandine Mayeu</dc:creator>
  <cp:lastModifiedBy>Un-named</cp:lastModifiedBy>
  <cp:revision>1</cp:revision>
  <dcterms:created xsi:type="dcterms:W3CDTF">2026-09-14T17:04:25.198Z</dcterms:created>
  <dcterms:modified xsi:type="dcterms:W3CDTF">2026-09-14T17:04:25.198Z</dcterms:modified>
</cp:coreProperties>
</file>

<file path=docProps/custom.xml><?xml version="1.0" encoding="utf-8"?>
<Properties xmlns="http://schemas.openxmlformats.org/officeDocument/2006/custom-properties" xmlns:vt="http://schemas.openxmlformats.org/officeDocument/2006/docPropsVTypes"/>
</file>